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12" w:rsidRPr="00A164DC" w:rsidRDefault="00444C12" w:rsidP="00444C12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S.A.</w:t>
      </w:r>
    </w:p>
    <w:p w:rsidR="00444C12" w:rsidRPr="00CE4D23" w:rsidRDefault="00444C12" w:rsidP="00444C12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</w:t>
      </w:r>
      <w:r>
        <w:rPr>
          <w:rFonts w:ascii="Tahoma" w:hAnsi="Tahoma" w:cs="Tahoma"/>
          <w:b/>
          <w:iCs/>
          <w:sz w:val="22"/>
          <w:szCs w:val="22"/>
        </w:rPr>
        <w:t>accionistas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444C12" w:rsidRDefault="00444C12" w:rsidP="00444C12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444C12" w:rsidRDefault="00444C12" w:rsidP="00444C12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444C12" w:rsidRPr="00A164DC" w:rsidRDefault="00444C12" w:rsidP="00444C12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neral 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Orden del Día: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Verificación del quórum.</w:t>
      </w: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Designación de presidente y secretario de la reunión.</w:t>
      </w:r>
    </w:p>
    <w:p w:rsidR="00444C12" w:rsidRPr="00471E95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Aprobación de la cuenta final de liquidación.</w:t>
      </w:r>
    </w:p>
    <w:p w:rsidR="00444C12" w:rsidRDefault="00444C12" w:rsidP="00444C12">
      <w:pPr>
        <w:pStyle w:val="Prrafodelista"/>
        <w:numPr>
          <w:ilvl w:val="0"/>
          <w:numId w:val="3"/>
        </w:numPr>
        <w:tabs>
          <w:tab w:val="left" w:leader="underscore" w:pos="9979"/>
        </w:tabs>
        <w:ind w:left="426" w:hanging="42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Lectura y aprobación del texto integral del acta.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444C12" w:rsidRDefault="00444C12" w:rsidP="00444C12">
      <w:pPr>
        <w:rPr>
          <w:rFonts w:ascii="Tahoma" w:hAnsi="Tahoma" w:cs="Tahoma"/>
          <w:b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444C12" w:rsidRPr="00EE39E6" w:rsidRDefault="00444C12" w:rsidP="00444C12">
      <w:pPr>
        <w:rPr>
          <w:rFonts w:ascii="Tahoma" w:hAnsi="Tahoma" w:cs="Tahoma"/>
          <w:b/>
          <w:sz w:val="22"/>
          <w:szCs w:val="22"/>
          <w:lang w:val="es-ES"/>
        </w:rPr>
      </w:pP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44C12" w:rsidTr="005F6649">
        <w:tc>
          <w:tcPr>
            <w:tcW w:w="4489" w:type="dxa"/>
          </w:tcPr>
          <w:p w:rsidR="00444C12" w:rsidRPr="003B50F7" w:rsidRDefault="00444C12" w:rsidP="005F66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444C12" w:rsidRPr="003B50F7" w:rsidRDefault="00444C12" w:rsidP="005F66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  <w:tr w:rsidR="00444C12" w:rsidTr="005F6649"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444C12" w:rsidRDefault="00444C12" w:rsidP="005F664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9E3B07" w:rsidRDefault="00444C12" w:rsidP="00444C12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444C12" w:rsidRPr="00DD7CC2" w:rsidRDefault="00444C12" w:rsidP="00444C12">
      <w:pPr>
        <w:ind w:left="360"/>
        <w:rPr>
          <w:rFonts w:ascii="Tahoma" w:hAnsi="Tahoma" w:cs="Tahoma"/>
          <w:b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444C12" w:rsidRPr="00DD7CC2" w:rsidRDefault="00444C12" w:rsidP="00444C12">
      <w:pPr>
        <w:ind w:left="360"/>
        <w:rPr>
          <w:rFonts w:ascii="Tahoma" w:hAnsi="Tahoma" w:cs="Tahoma"/>
          <w:sz w:val="22"/>
          <w:szCs w:val="22"/>
        </w:rPr>
      </w:pPr>
    </w:p>
    <w:p w:rsidR="00444C12" w:rsidRPr="00471E95" w:rsidRDefault="00444C12" w:rsidP="00444C12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  <w:r w:rsidRPr="00471E95">
        <w:rPr>
          <w:rFonts w:ascii="Tahoma" w:hAnsi="Tahoma" w:cs="Tahoma"/>
          <w:b/>
          <w:sz w:val="22"/>
          <w:szCs w:val="22"/>
          <w:lang w:val="es-ES"/>
        </w:rPr>
        <w:lastRenderedPageBreak/>
        <w:t>3. APROBACIÓN DE LA CUENTA FINAL DE LIQUIDACIÓN.</w:t>
      </w:r>
    </w:p>
    <w:p w:rsidR="00444C12" w:rsidRPr="00471E95" w:rsidRDefault="00444C12" w:rsidP="00444C12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b/>
          <w:sz w:val="22"/>
          <w:szCs w:val="22"/>
          <w:lang w:val="es-ES"/>
        </w:rPr>
      </w:pPr>
    </w:p>
    <w:p w:rsidR="00444C12" w:rsidRPr="00471E95" w:rsidRDefault="00444C12" w:rsidP="00444C12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El liquidador presenta a consideración de la asamblea la cuenta final de liquidación, para lo cual aporta:</w:t>
      </w:r>
    </w:p>
    <w:p w:rsidR="00444C12" w:rsidRPr="00471E95" w:rsidRDefault="00444C12" w:rsidP="00444C12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Inventarios.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Balance general.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Estado de pérdidas y ganancias.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Pasivos de la entidad.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Pago de pasivos.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Indicación del remanente.</w:t>
      </w:r>
    </w:p>
    <w:p w:rsidR="00444C12" w:rsidRPr="00471E95" w:rsidRDefault="00444C12" w:rsidP="00444C12">
      <w:pPr>
        <w:pStyle w:val="Prrafodelista"/>
        <w:numPr>
          <w:ilvl w:val="0"/>
          <w:numId w:val="4"/>
        </w:num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>Destinación del remanente.</w:t>
      </w:r>
    </w:p>
    <w:p w:rsidR="00444C12" w:rsidRPr="00471E95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  <w:r w:rsidRPr="00471E95">
        <w:rPr>
          <w:rFonts w:ascii="Tahoma" w:hAnsi="Tahoma" w:cs="Tahoma"/>
          <w:sz w:val="22"/>
          <w:szCs w:val="22"/>
          <w:lang w:val="es-ES"/>
        </w:rPr>
        <w:t xml:space="preserve">La asamblea de </w:t>
      </w:r>
      <w:r>
        <w:rPr>
          <w:rFonts w:ascii="Tahoma" w:hAnsi="Tahoma" w:cs="Tahoma"/>
          <w:sz w:val="22"/>
          <w:szCs w:val="22"/>
          <w:lang w:val="es-ES"/>
        </w:rPr>
        <w:t>accionistas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 xml:space="preserve">aprueba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</w:t>
      </w:r>
      <w:r>
        <w:rPr>
          <w:rFonts w:ascii="Tahoma" w:hAnsi="Tahoma" w:cs="Tahoma"/>
          <w:i/>
          <w:color w:val="FF0000"/>
          <w:sz w:val="22"/>
          <w:szCs w:val="22"/>
        </w:rPr>
        <w:t>la cuenta final de liquidación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471E95">
        <w:rPr>
          <w:rFonts w:ascii="Tahoma" w:hAnsi="Tahoma" w:cs="Tahoma"/>
          <w:sz w:val="22"/>
          <w:szCs w:val="22"/>
          <w:lang w:val="es-ES"/>
        </w:rPr>
        <w:t xml:space="preserve">la cuenta final de liquidación, presentada por el liquidador y además determina que el remanente se </w:t>
      </w:r>
      <w:r>
        <w:rPr>
          <w:rFonts w:ascii="Tahoma" w:hAnsi="Tahoma" w:cs="Tahoma"/>
          <w:sz w:val="22"/>
          <w:szCs w:val="22"/>
          <w:lang w:val="es-ES"/>
        </w:rPr>
        <w:t>distribuirá de la siguiente forma: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Así entonces la asamblea aprueba por unanimidad la liquidación de la entidad.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</w:t>
      </w:r>
    </w:p>
    <w:p w:rsidR="00444C12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</w:p>
    <w:p w:rsidR="00444C12" w:rsidRPr="008150F6" w:rsidRDefault="00444C12" w:rsidP="00444C12">
      <w:pPr>
        <w:tabs>
          <w:tab w:val="left" w:leader="underscore" w:pos="9979"/>
        </w:tabs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Nota 1: Junto con el acta debe anexarse copia de</w:t>
      </w:r>
      <w:r w:rsid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l balance final de liquidación, </w:t>
      </w: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suscrito por el representante legal </w:t>
      </w:r>
      <w:r w:rsidR="00FC0CD1">
        <w:rPr>
          <w:rFonts w:ascii="Tahoma" w:hAnsi="Tahoma" w:cs="Tahoma"/>
          <w:i/>
          <w:color w:val="FF0000"/>
          <w:sz w:val="22"/>
          <w:szCs w:val="22"/>
          <w:lang w:val="es-ES"/>
        </w:rPr>
        <w:t>y/</w:t>
      </w:r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o liquidador de la entidad y por un contador público (art. 33 Decreto 2649 de 1993 </w:t>
      </w:r>
      <w:proofErr w:type="spellStart"/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conc</w:t>
      </w:r>
      <w:proofErr w:type="spellEnd"/>
      <w:r w:rsidRPr="00FC0CD1">
        <w:rPr>
          <w:rFonts w:ascii="Tahoma" w:hAnsi="Tahoma" w:cs="Tahoma"/>
          <w:i/>
          <w:color w:val="FF0000"/>
          <w:sz w:val="22"/>
          <w:szCs w:val="22"/>
          <w:lang w:val="es-ES"/>
        </w:rPr>
        <w:t>.: art. 10 Ley 43 de 1990).</w:t>
      </w:r>
    </w:p>
    <w:p w:rsidR="00444C12" w:rsidRPr="00471E95" w:rsidRDefault="00444C12" w:rsidP="00444C12">
      <w:pPr>
        <w:rPr>
          <w:rFonts w:ascii="Tahoma" w:hAnsi="Tahoma" w:cs="Tahoma"/>
          <w:sz w:val="22"/>
          <w:szCs w:val="22"/>
        </w:rPr>
      </w:pPr>
      <w:r w:rsidRPr="00471E95">
        <w:rPr>
          <w:rFonts w:ascii="Tahoma" w:hAnsi="Tahoma" w:cs="Tahoma"/>
          <w:sz w:val="22"/>
          <w:szCs w:val="22"/>
          <w:lang w:val="es-ES"/>
        </w:rPr>
        <w:tab/>
      </w:r>
    </w:p>
    <w:p w:rsidR="00444C12" w:rsidRPr="00DD7CC2" w:rsidRDefault="00444C12" w:rsidP="00444C1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DD7CC2">
        <w:rPr>
          <w:rFonts w:ascii="Tahoma" w:hAnsi="Tahoma" w:cs="Tahoma"/>
          <w:b/>
          <w:sz w:val="22"/>
          <w:szCs w:val="22"/>
        </w:rPr>
        <w:t>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444C12" w:rsidRPr="00DD7CC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asistentes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444C12" w:rsidRPr="008A19A2" w:rsidRDefault="00444C12" w:rsidP="00444C12">
      <w:pPr>
        <w:ind w:left="360"/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DC4A15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C4A15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C4A15">
        <w:rPr>
          <w:rFonts w:ascii="Tahoma" w:hAnsi="Tahoma" w:cs="Tahoma"/>
          <w:color w:val="FF0000"/>
          <w:sz w:val="22"/>
          <w:szCs w:val="22"/>
        </w:rPr>
        <w:t>)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FC0CD1" w:rsidRPr="008A19A2" w:rsidRDefault="00FC0CD1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444C12" w:rsidRDefault="00444C12" w:rsidP="00444C12">
      <w:pPr>
        <w:rPr>
          <w:rFonts w:ascii="Tahoma" w:hAnsi="Tahoma" w:cs="Tahoma"/>
          <w:sz w:val="22"/>
          <w:szCs w:val="22"/>
        </w:rPr>
      </w:pPr>
    </w:p>
    <w:p w:rsidR="00FC0CD1" w:rsidRDefault="00FC0CD1" w:rsidP="00444C12">
      <w:pPr>
        <w:rPr>
          <w:rFonts w:ascii="Tahoma" w:hAnsi="Tahoma" w:cs="Tahoma"/>
          <w:sz w:val="22"/>
          <w:szCs w:val="22"/>
        </w:rPr>
      </w:pPr>
    </w:p>
    <w:p w:rsidR="00FC0CD1" w:rsidRPr="008A19A2" w:rsidRDefault="00FC0CD1" w:rsidP="00444C12">
      <w:pPr>
        <w:rPr>
          <w:rFonts w:ascii="Tahoma" w:hAnsi="Tahoma" w:cs="Tahoma"/>
          <w:sz w:val="22"/>
          <w:szCs w:val="22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lastRenderedPageBreak/>
        <w:t>Esta acta es fiel copia tomada de la original</w:t>
      </w: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</w:p>
    <w:p w:rsidR="00444C12" w:rsidRPr="008A19A2" w:rsidRDefault="00444C12" w:rsidP="00444C12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444C12" w:rsidRPr="0087160F" w:rsidRDefault="00444C12" w:rsidP="00444C12">
      <w:r w:rsidRPr="008A19A2">
        <w:rPr>
          <w:rFonts w:ascii="Tahoma" w:hAnsi="Tahoma" w:cs="Tahoma"/>
          <w:sz w:val="22"/>
          <w:szCs w:val="22"/>
          <w:lang w:val="es-ES"/>
        </w:rPr>
        <w:t>CC N</w:t>
      </w:r>
      <w:r>
        <w:rPr>
          <w:rFonts w:ascii="Tahoma" w:hAnsi="Tahoma" w:cs="Tahoma"/>
          <w:sz w:val="22"/>
          <w:szCs w:val="22"/>
          <w:lang w:val="es-ES"/>
        </w:rPr>
        <w:t>o</w:t>
      </w:r>
    </w:p>
    <w:p w:rsidR="006D3AE8" w:rsidRDefault="006D3AE8" w:rsidP="00444C12"/>
    <w:sectPr w:rsidR="006D3AE8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E" w:rsidRDefault="00CE0D8E" w:rsidP="0042729E">
      <w:r>
        <w:separator/>
      </w:r>
    </w:p>
  </w:endnote>
  <w:endnote w:type="continuationSeparator" w:id="0">
    <w:p w:rsidR="00CE0D8E" w:rsidRDefault="00CE0D8E" w:rsidP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E" w:rsidRDefault="00CE0D8E" w:rsidP="0042729E">
      <w:r>
        <w:separator/>
      </w:r>
    </w:p>
  </w:footnote>
  <w:footnote w:type="continuationSeparator" w:id="0">
    <w:p w:rsidR="00CE0D8E" w:rsidRDefault="00CE0D8E" w:rsidP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CE0D8E" w:rsidP="00771140">
    <w:pPr>
      <w:pStyle w:val="Encabezado"/>
    </w:pPr>
  </w:p>
  <w:p w:rsidR="00771140" w:rsidRPr="00C7470C" w:rsidRDefault="00F272E4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CE0D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6A5"/>
    <w:multiLevelType w:val="hybridMultilevel"/>
    <w:tmpl w:val="787EDE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2C7924"/>
    <w:multiLevelType w:val="hybridMultilevel"/>
    <w:tmpl w:val="64A81232"/>
    <w:lvl w:ilvl="0" w:tplc="240A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6" w:hanging="360"/>
      </w:pPr>
    </w:lvl>
    <w:lvl w:ilvl="2" w:tplc="240A001B" w:tentative="1">
      <w:start w:val="1"/>
      <w:numFmt w:val="lowerRoman"/>
      <w:lvlText w:val="%3."/>
      <w:lvlJc w:val="right"/>
      <w:pPr>
        <w:ind w:left="1866" w:hanging="180"/>
      </w:pPr>
    </w:lvl>
    <w:lvl w:ilvl="3" w:tplc="240A000F" w:tentative="1">
      <w:start w:val="1"/>
      <w:numFmt w:val="decimal"/>
      <w:lvlText w:val="%4."/>
      <w:lvlJc w:val="left"/>
      <w:pPr>
        <w:ind w:left="2586" w:hanging="360"/>
      </w:pPr>
    </w:lvl>
    <w:lvl w:ilvl="4" w:tplc="240A0019" w:tentative="1">
      <w:start w:val="1"/>
      <w:numFmt w:val="lowerLetter"/>
      <w:lvlText w:val="%5."/>
      <w:lvlJc w:val="left"/>
      <w:pPr>
        <w:ind w:left="3306" w:hanging="360"/>
      </w:pPr>
    </w:lvl>
    <w:lvl w:ilvl="5" w:tplc="240A001B" w:tentative="1">
      <w:start w:val="1"/>
      <w:numFmt w:val="lowerRoman"/>
      <w:lvlText w:val="%6."/>
      <w:lvlJc w:val="right"/>
      <w:pPr>
        <w:ind w:left="4026" w:hanging="180"/>
      </w:pPr>
    </w:lvl>
    <w:lvl w:ilvl="6" w:tplc="240A000F" w:tentative="1">
      <w:start w:val="1"/>
      <w:numFmt w:val="decimal"/>
      <w:lvlText w:val="%7."/>
      <w:lvlJc w:val="left"/>
      <w:pPr>
        <w:ind w:left="4746" w:hanging="360"/>
      </w:pPr>
    </w:lvl>
    <w:lvl w:ilvl="7" w:tplc="240A0019" w:tentative="1">
      <w:start w:val="1"/>
      <w:numFmt w:val="lowerLetter"/>
      <w:lvlText w:val="%8."/>
      <w:lvlJc w:val="left"/>
      <w:pPr>
        <w:ind w:left="5466" w:hanging="360"/>
      </w:pPr>
    </w:lvl>
    <w:lvl w:ilvl="8" w:tplc="240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12"/>
    <w:rsid w:val="000107F2"/>
    <w:rsid w:val="00142D7C"/>
    <w:rsid w:val="002A5526"/>
    <w:rsid w:val="002A789E"/>
    <w:rsid w:val="00352247"/>
    <w:rsid w:val="0039785E"/>
    <w:rsid w:val="003A3D02"/>
    <w:rsid w:val="0042729E"/>
    <w:rsid w:val="00444C12"/>
    <w:rsid w:val="00527B97"/>
    <w:rsid w:val="0061457F"/>
    <w:rsid w:val="00617C67"/>
    <w:rsid w:val="006D3AE8"/>
    <w:rsid w:val="0077716A"/>
    <w:rsid w:val="0082789F"/>
    <w:rsid w:val="008D3C5D"/>
    <w:rsid w:val="00996258"/>
    <w:rsid w:val="009A6047"/>
    <w:rsid w:val="00A11DAC"/>
    <w:rsid w:val="00A1507F"/>
    <w:rsid w:val="00A26E13"/>
    <w:rsid w:val="00A832F0"/>
    <w:rsid w:val="00C51DFD"/>
    <w:rsid w:val="00C94474"/>
    <w:rsid w:val="00CE0D8E"/>
    <w:rsid w:val="00DD0CB2"/>
    <w:rsid w:val="00E84463"/>
    <w:rsid w:val="00EB0F83"/>
    <w:rsid w:val="00ED7423"/>
    <w:rsid w:val="00F272E4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C1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4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44C12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4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4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C12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FC0CD1"/>
  </w:style>
  <w:style w:type="character" w:styleId="Hipervnculo">
    <w:name w:val="Hyperlink"/>
    <w:basedOn w:val="Fuentedeprrafopredeter"/>
    <w:uiPriority w:val="99"/>
    <w:semiHidden/>
    <w:unhideWhenUsed/>
    <w:rsid w:val="0039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11</cp:revision>
  <dcterms:created xsi:type="dcterms:W3CDTF">2014-05-23T15:53:00Z</dcterms:created>
  <dcterms:modified xsi:type="dcterms:W3CDTF">2017-10-09T22:00:00Z</dcterms:modified>
</cp:coreProperties>
</file>