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DC" w:rsidRDefault="00756ADC" w:rsidP="006D76DB">
      <w:pPr>
        <w:rPr>
          <w:lang w:val="es-CO"/>
        </w:rPr>
      </w:pPr>
      <w:bookmarkStart w:id="0" w:name="_GoBack"/>
      <w:bookmarkEnd w:id="0"/>
    </w:p>
    <w:p w:rsidR="00756ADC" w:rsidRDefault="00756ADC" w:rsidP="006D76DB">
      <w:pPr>
        <w:rPr>
          <w:lang w:val="es-CO"/>
        </w:rPr>
      </w:pPr>
    </w:p>
    <w:p w:rsidR="00946277" w:rsidRPr="00946277" w:rsidRDefault="00946277" w:rsidP="00946277">
      <w:pPr>
        <w:rPr>
          <w:b/>
          <w:lang w:val="es-CO"/>
        </w:rPr>
      </w:pPr>
      <w:r w:rsidRPr="00946277">
        <w:rPr>
          <w:b/>
          <w:lang w:val="es-CO"/>
        </w:rPr>
        <w:t>MODELO A CLÁUSULA COMPROMISORIA.</w:t>
      </w:r>
    </w:p>
    <w:p w:rsidR="00946277" w:rsidRPr="00946277" w:rsidRDefault="00946277" w:rsidP="00946277">
      <w:pPr>
        <w:rPr>
          <w:lang w:val="es-CO"/>
        </w:rPr>
      </w:pPr>
    </w:p>
    <w:p w:rsidR="00946277" w:rsidRPr="00946277" w:rsidRDefault="00946277" w:rsidP="00946277">
      <w:pPr>
        <w:rPr>
          <w:lang w:val="es-CO"/>
        </w:rPr>
      </w:pPr>
      <w:r w:rsidRPr="00946277">
        <w:rPr>
          <w:lang w:val="es-CO"/>
        </w:rPr>
        <w:t>Toda controversia o diferencia relativa a este contrato, se resolverá por un Tribunal de Arbitramento, que se sujetará al reglamento del Centro de Conciliación, Arbitraje y Amigable Composición de la Cámara de Comercio de Armenia, de acuerdo con las siguientes reglas:</w:t>
      </w:r>
    </w:p>
    <w:p w:rsidR="00946277" w:rsidRPr="00946277" w:rsidRDefault="00946277" w:rsidP="00946277">
      <w:pPr>
        <w:rPr>
          <w:lang w:val="es-CO"/>
        </w:rPr>
      </w:pPr>
    </w:p>
    <w:p w:rsidR="00946277" w:rsidRPr="00946277" w:rsidRDefault="00946277" w:rsidP="00946277">
      <w:pPr>
        <w:rPr>
          <w:lang w:val="es-CO"/>
        </w:rPr>
      </w:pPr>
      <w:r>
        <w:rPr>
          <w:lang w:val="es-CO"/>
        </w:rPr>
        <w:t>-</w:t>
      </w:r>
      <w:r w:rsidRPr="00946277">
        <w:rPr>
          <w:lang w:val="es-CO"/>
        </w:rPr>
        <w:t>El tribunal estará integrado por___________ (Indique un número impar de árbitros 1 ó 3) designados por las partes de común acuerdo. En caso de que no fuere posible, los árbitros serán designados por el Centro de Arbitraje y Conciliación de la Cámara de Comercio de Armenia, a solicitud de cualquiera de las partes.</w:t>
      </w:r>
    </w:p>
    <w:p w:rsidR="00946277" w:rsidRPr="00946277" w:rsidRDefault="00946277" w:rsidP="00946277">
      <w:pPr>
        <w:rPr>
          <w:lang w:val="es-CO"/>
        </w:rPr>
      </w:pPr>
    </w:p>
    <w:p w:rsidR="00946277" w:rsidRPr="00946277" w:rsidRDefault="00946277" w:rsidP="00946277">
      <w:pPr>
        <w:rPr>
          <w:lang w:val="es-CO"/>
        </w:rPr>
      </w:pPr>
      <w:r>
        <w:rPr>
          <w:lang w:val="es-CO"/>
        </w:rPr>
        <w:t>-</w:t>
      </w:r>
      <w:r w:rsidRPr="00946277">
        <w:rPr>
          <w:lang w:val="es-CO"/>
        </w:rPr>
        <w:t>El Tribunal decidirá en</w:t>
      </w:r>
      <w:r w:rsidRPr="00946277">
        <w:rPr>
          <w:lang w:val="es-CO"/>
        </w:rPr>
        <w:tab/>
        <w:t>(Indique si se decidirá en derecho o equidad).</w:t>
      </w:r>
    </w:p>
    <w:p w:rsidR="00946277" w:rsidRPr="00946277" w:rsidRDefault="00946277" w:rsidP="00946277">
      <w:pPr>
        <w:rPr>
          <w:lang w:val="es-CO"/>
        </w:rPr>
      </w:pPr>
    </w:p>
    <w:p w:rsidR="00946277" w:rsidRDefault="00946277" w:rsidP="00946277">
      <w:pPr>
        <w:rPr>
          <w:b/>
          <w:lang w:val="es-CO"/>
        </w:rPr>
      </w:pPr>
      <w:r w:rsidRPr="00946277">
        <w:rPr>
          <w:b/>
          <w:lang w:val="es-CO"/>
        </w:rPr>
        <w:t>MODELO B CLAUSULA COMPROMISORIA</w:t>
      </w:r>
    </w:p>
    <w:p w:rsidR="00946277" w:rsidRPr="00946277" w:rsidRDefault="00946277" w:rsidP="00946277">
      <w:pPr>
        <w:rPr>
          <w:b/>
          <w:lang w:val="es-CO"/>
        </w:rPr>
      </w:pPr>
    </w:p>
    <w:p w:rsidR="00946277" w:rsidRPr="00946277" w:rsidRDefault="00946277" w:rsidP="00946277">
      <w:pPr>
        <w:rPr>
          <w:lang w:val="es-CO"/>
        </w:rPr>
      </w:pPr>
      <w:r w:rsidRPr="00946277">
        <w:rPr>
          <w:lang w:val="es-CO"/>
        </w:rPr>
        <w:t>“CLAUSULA COMPROMISORIA: Acuerdan las partes contratantes que toda controversia o diferencia relativa a este contrato, ejecución y liquidación, se someterá inicialmente a conciliación entre las partes en litigio; para ello, suscitado el conflicto, recurrirán del Centro de Conciliación, Arbitraje y Amigable Composición de la Cámara de Comercio de Armenia.</w:t>
      </w:r>
    </w:p>
    <w:p w:rsidR="00946277" w:rsidRPr="00946277" w:rsidRDefault="00946277" w:rsidP="00946277">
      <w:pPr>
        <w:rPr>
          <w:lang w:val="es-CO"/>
        </w:rPr>
      </w:pPr>
    </w:p>
    <w:p w:rsidR="00946277" w:rsidRPr="00946277" w:rsidRDefault="00946277" w:rsidP="00946277">
      <w:pPr>
        <w:rPr>
          <w:lang w:val="es-CO"/>
        </w:rPr>
      </w:pPr>
      <w:proofErr w:type="gramStart"/>
      <w:r>
        <w:rPr>
          <w:lang w:val="es-CO"/>
        </w:rPr>
        <w:t>a-</w:t>
      </w:r>
      <w:proofErr w:type="gramEnd"/>
      <w:r w:rsidRPr="00946277">
        <w:rPr>
          <w:lang w:val="es-CO"/>
        </w:rPr>
        <w:t xml:space="preserve">En el evento en que las partes no lleguen a un Acuerdo Conciliatorio, la controversia se someterá y resolverá por un Tribunal de Arbitramento, que se sujetará a lo establecido en el reglamento del Centro de conciliación, Arbitraje y Amigable Composición de la Cámara de Comercio de Armenia. Los Árbitros serán elegidos de común acuerdo por las partes. </w:t>
      </w:r>
    </w:p>
    <w:p w:rsidR="00946277" w:rsidRPr="00946277" w:rsidRDefault="00946277" w:rsidP="00946277">
      <w:pPr>
        <w:rPr>
          <w:lang w:val="es-CO"/>
        </w:rPr>
      </w:pPr>
      <w:r w:rsidRPr="00946277">
        <w:rPr>
          <w:lang w:val="es-CO"/>
        </w:rPr>
        <w:t xml:space="preserve"> A falta de dicho acuerdo , o en el caso de que una de las partes no asista o no lo designen dentro de los 20 días calendarios siguientes a la radicación del Tribunal en el Centro, las partes delegarán expresamente en el Director del Centro de Conciliación, Arbitraje y Amigable Composición  de la Cámara  de Comercio de Armenia la designación , la cual se hará mediante  sorteo  efectuado entre los Árbitros inscritos en las listas que lleva el Centro de Conciliación , Arbitraje y Amigable Composición de la Cámara de Comercio de Armenia. El Tribunal así constituido se sujetará a lo dispuesto en los Decretos 2279 de 1989, 2651 de 1991 y 1818 de 1998, la Leyes 23 de 1991 y 446 de 1998, y demás normas concordantes que modifiquen o adicionen que en el momento se encuentren vigentes, de acuerdo con las siguientes reglas: </w:t>
      </w:r>
    </w:p>
    <w:p w:rsidR="00946277" w:rsidRPr="00946277" w:rsidRDefault="00946277" w:rsidP="00946277">
      <w:pPr>
        <w:rPr>
          <w:lang w:val="es-CO"/>
        </w:rPr>
      </w:pPr>
    </w:p>
    <w:p w:rsidR="00946277" w:rsidRPr="00946277" w:rsidRDefault="00946277" w:rsidP="00946277">
      <w:pPr>
        <w:rPr>
          <w:lang w:val="es-CO"/>
        </w:rPr>
      </w:pPr>
      <w:r w:rsidRPr="00946277">
        <w:rPr>
          <w:lang w:val="es-CO"/>
        </w:rPr>
        <w:t xml:space="preserve">El Tribunal estará integrado por tres (3) Árbitros, salvo en asuntos de menor cuantía (inferior a 400 </w:t>
      </w:r>
      <w:proofErr w:type="spellStart"/>
      <w:r w:rsidRPr="00946277">
        <w:rPr>
          <w:lang w:val="es-CO"/>
        </w:rPr>
        <w:t>smmlv</w:t>
      </w:r>
      <w:proofErr w:type="spellEnd"/>
      <w:r w:rsidRPr="00946277">
        <w:rPr>
          <w:lang w:val="es-CO"/>
        </w:rPr>
        <w:t>), en el cual habrá un (1) solo árbitro.</w:t>
      </w:r>
    </w:p>
    <w:p w:rsidR="00946277" w:rsidRPr="00946277" w:rsidRDefault="00946277" w:rsidP="00946277">
      <w:pPr>
        <w:rPr>
          <w:lang w:val="es-CO"/>
        </w:rPr>
      </w:pPr>
    </w:p>
    <w:p w:rsidR="00946277" w:rsidRPr="00946277" w:rsidRDefault="00946277" w:rsidP="00946277">
      <w:pPr>
        <w:rPr>
          <w:lang w:val="es-CO"/>
        </w:rPr>
      </w:pPr>
      <w:r w:rsidRPr="00946277">
        <w:rPr>
          <w:lang w:val="es-CO"/>
        </w:rPr>
        <w:t>La organización interna del Tribunal, se sujetará a las reglas previstas para el efecto por el Centro de Conciliación, Arbitraje y Amigable Composición de la Cámara de Comercio de Armenia.</w:t>
      </w:r>
    </w:p>
    <w:p w:rsidR="00946277" w:rsidRPr="00946277" w:rsidRDefault="00946277" w:rsidP="00946277">
      <w:pPr>
        <w:rPr>
          <w:lang w:val="es-CO"/>
        </w:rPr>
      </w:pPr>
      <w:r w:rsidRPr="00946277">
        <w:rPr>
          <w:lang w:val="es-CO"/>
        </w:rPr>
        <w:t xml:space="preserve">El término para proferir el laudo será el establecido (en el término que las partes  consideren teniendo en cuenta que de no estipularse la norma indica 6 meses), prorrogable </w:t>
      </w:r>
      <w:r w:rsidRPr="00946277">
        <w:rPr>
          <w:lang w:val="es-CO"/>
        </w:rPr>
        <w:lastRenderedPageBreak/>
        <w:t>en las condiciones que la misma señala.</w:t>
      </w:r>
    </w:p>
    <w:p w:rsidR="00946277" w:rsidRPr="00946277" w:rsidRDefault="00946277" w:rsidP="00946277">
      <w:pPr>
        <w:rPr>
          <w:lang w:val="es-CO"/>
        </w:rPr>
      </w:pPr>
    </w:p>
    <w:p w:rsidR="00946277" w:rsidRPr="00946277" w:rsidRDefault="00946277" w:rsidP="00946277">
      <w:pPr>
        <w:rPr>
          <w:lang w:val="es-CO"/>
        </w:rPr>
      </w:pPr>
      <w:r w:rsidRPr="00946277">
        <w:rPr>
          <w:lang w:val="es-CO"/>
        </w:rPr>
        <w:t>El Tribunal decidirá en derecho. (</w:t>
      </w:r>
      <w:proofErr w:type="gramStart"/>
      <w:r w:rsidRPr="00946277">
        <w:rPr>
          <w:lang w:val="es-CO"/>
        </w:rPr>
        <w:t>o</w:t>
      </w:r>
      <w:proofErr w:type="gramEnd"/>
      <w:r w:rsidRPr="00946277">
        <w:rPr>
          <w:lang w:val="es-CO"/>
        </w:rPr>
        <w:t xml:space="preserve"> en equidad a elección de las partes)</w:t>
      </w:r>
    </w:p>
    <w:p w:rsidR="00946277" w:rsidRPr="00946277" w:rsidRDefault="00946277" w:rsidP="00946277">
      <w:pPr>
        <w:rPr>
          <w:lang w:val="es-CO"/>
        </w:rPr>
      </w:pPr>
    </w:p>
    <w:p w:rsidR="00756ADC" w:rsidRDefault="00946277" w:rsidP="00946277">
      <w:pPr>
        <w:rPr>
          <w:lang w:val="es-CO"/>
        </w:rPr>
      </w:pPr>
      <w:r w:rsidRPr="00946277">
        <w:rPr>
          <w:lang w:val="es-CO"/>
        </w:rPr>
        <w:t>El Tribunal se instalará y funcionará en la ciudad de Armenia en el Centro de Conciliación, Arbitraje y Amigable Composición de la Cámara de Comercio de Armenia, siendo un requisito indispensable para el funcionamiento del Arbitramento”.</w:t>
      </w:r>
    </w:p>
    <w:p w:rsidR="00756ADC" w:rsidRPr="00520ED4" w:rsidRDefault="00756ADC" w:rsidP="00756ADC">
      <w:pPr>
        <w:jc w:val="both"/>
        <w:rPr>
          <w:lang w:val="es-CO"/>
        </w:rPr>
      </w:pPr>
    </w:p>
    <w:sectPr w:rsidR="00756ADC" w:rsidRPr="00520ED4" w:rsidSect="000B6FA5">
      <w:headerReference w:type="default" r:id="rId8"/>
      <w:type w:val="continuous"/>
      <w:pgSz w:w="12240" w:h="15840"/>
      <w:pgMar w:top="2381" w:right="1474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FA" w:rsidRDefault="00AC79FA" w:rsidP="0084247B">
      <w:r>
        <w:separator/>
      </w:r>
    </w:p>
  </w:endnote>
  <w:endnote w:type="continuationSeparator" w:id="0">
    <w:p w:rsidR="00AC79FA" w:rsidRDefault="00AC79FA" w:rsidP="0084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FA" w:rsidRDefault="00AC79FA" w:rsidP="0084247B">
      <w:r>
        <w:separator/>
      </w:r>
    </w:p>
  </w:footnote>
  <w:footnote w:type="continuationSeparator" w:id="0">
    <w:p w:rsidR="00AC79FA" w:rsidRDefault="00AC79FA" w:rsidP="0084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7B" w:rsidRDefault="0017432B" w:rsidP="0017432B">
    <w:pPr>
      <w:pStyle w:val="Textoindependiente"/>
      <w:tabs>
        <w:tab w:val="left" w:pos="3930"/>
      </w:tabs>
      <w:spacing w:before="8"/>
      <w:rPr>
        <w:rFonts w:ascii="Times New Roman"/>
        <w:sz w:val="28"/>
      </w:rPr>
    </w:pPr>
    <w:r>
      <w:rPr>
        <w:rFonts w:ascii="Times New Roman"/>
        <w:sz w:val="28"/>
      </w:rPr>
      <w:tab/>
    </w:r>
  </w:p>
  <w:p w:rsidR="0084247B" w:rsidRDefault="00BD7A71" w:rsidP="0084247B">
    <w:pPr>
      <w:pStyle w:val="Textoindependiente"/>
      <w:spacing w:before="112"/>
      <w:ind w:left="3770" w:right="4341"/>
      <w:jc w:val="center"/>
    </w:pPr>
    <w:r>
      <w:rPr>
        <w:noProof/>
        <w:lang w:val="es-CO" w:eastAsia="es-CO"/>
      </w:rPr>
      <w:drawing>
        <wp:inline distT="0" distB="0" distL="0" distR="0" wp14:anchorId="00652886" wp14:editId="43D05480">
          <wp:extent cx="5762625" cy="5762625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6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247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A4698B5" wp14:editId="715D1052">
              <wp:simplePos x="0" y="0"/>
              <wp:positionH relativeFrom="page">
                <wp:posOffset>2868295</wp:posOffset>
              </wp:positionH>
              <wp:positionV relativeFrom="paragraph">
                <wp:posOffset>71755</wp:posOffset>
              </wp:positionV>
              <wp:extent cx="8255" cy="349885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5" cy="34988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1B37D8" id="Rectángulo 2" o:spid="_x0000_s1026" style="position:absolute;margin-left:225.85pt;margin-top:5.65pt;width:.65pt;height:27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" fillcolor="#231f20" stroked="f">
              <w10:wrap anchorx="page"/>
            </v:rect>
          </w:pict>
        </mc:Fallback>
      </mc:AlternateContent>
    </w:r>
    <w:r w:rsidR="0076301C" w:rsidRPr="0076301C">
      <w:rPr>
        <w:noProof/>
      </w:rPr>
      <w:t xml:space="preserve"> </w:t>
    </w:r>
  </w:p>
  <w:p w:rsidR="0084247B" w:rsidRDefault="0084247B" w:rsidP="0084247B">
    <w:pPr>
      <w:pStyle w:val="Textoindependiente"/>
      <w:rPr>
        <w:sz w:val="20"/>
      </w:rPr>
    </w:pPr>
  </w:p>
  <w:p w:rsidR="0084247B" w:rsidRDefault="0084247B" w:rsidP="0084247B">
    <w:pPr>
      <w:pStyle w:val="Textoindependiente"/>
      <w:rPr>
        <w:sz w:val="20"/>
      </w:rPr>
    </w:pPr>
  </w:p>
  <w:p w:rsidR="0084247B" w:rsidRDefault="0084247B" w:rsidP="0084247B">
    <w:pPr>
      <w:pStyle w:val="Textoindependiente"/>
      <w:rPr>
        <w:sz w:val="20"/>
      </w:rPr>
    </w:pPr>
  </w:p>
  <w:p w:rsidR="0084247B" w:rsidRDefault="0084247B" w:rsidP="0084247B">
    <w:pPr>
      <w:pStyle w:val="Textoindependiente"/>
      <w:rPr>
        <w:sz w:val="20"/>
      </w:rPr>
    </w:pPr>
  </w:p>
  <w:p w:rsidR="0084247B" w:rsidRDefault="0084247B" w:rsidP="0084247B">
    <w:pPr>
      <w:pStyle w:val="Textoindependiente"/>
      <w:rPr>
        <w:sz w:val="20"/>
      </w:rPr>
    </w:pPr>
  </w:p>
  <w:p w:rsidR="0084247B" w:rsidRDefault="008424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40E"/>
    <w:multiLevelType w:val="hybridMultilevel"/>
    <w:tmpl w:val="908A82EE"/>
    <w:lvl w:ilvl="0" w:tplc="7CF8BE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462"/>
    <w:multiLevelType w:val="hybridMultilevel"/>
    <w:tmpl w:val="7FFE9F5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5A5D3F"/>
    <w:multiLevelType w:val="hybridMultilevel"/>
    <w:tmpl w:val="AC3AE168"/>
    <w:lvl w:ilvl="0" w:tplc="46B2A170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09EA"/>
    <w:multiLevelType w:val="hybridMultilevel"/>
    <w:tmpl w:val="EFE00B48"/>
    <w:lvl w:ilvl="0" w:tplc="46B2A170">
      <w:start w:val="9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b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F063CA"/>
    <w:multiLevelType w:val="hybridMultilevel"/>
    <w:tmpl w:val="06A42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63DF0"/>
    <w:multiLevelType w:val="hybridMultilevel"/>
    <w:tmpl w:val="9BE8B97C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6422"/>
    <w:rsid w:val="000219E8"/>
    <w:rsid w:val="000B6FA5"/>
    <w:rsid w:val="0017432B"/>
    <w:rsid w:val="002305C2"/>
    <w:rsid w:val="0029385B"/>
    <w:rsid w:val="002A3758"/>
    <w:rsid w:val="002A73DE"/>
    <w:rsid w:val="0039574C"/>
    <w:rsid w:val="003F50D5"/>
    <w:rsid w:val="00465056"/>
    <w:rsid w:val="00520ED4"/>
    <w:rsid w:val="005B2F87"/>
    <w:rsid w:val="005F16AC"/>
    <w:rsid w:val="00623BF1"/>
    <w:rsid w:val="006D76DB"/>
    <w:rsid w:val="0072013F"/>
    <w:rsid w:val="00736BA4"/>
    <w:rsid w:val="00756ADC"/>
    <w:rsid w:val="0075789C"/>
    <w:rsid w:val="0076301C"/>
    <w:rsid w:val="00767475"/>
    <w:rsid w:val="007807EB"/>
    <w:rsid w:val="007A27C9"/>
    <w:rsid w:val="00816422"/>
    <w:rsid w:val="0084247B"/>
    <w:rsid w:val="00946277"/>
    <w:rsid w:val="009D14A9"/>
    <w:rsid w:val="00A906AB"/>
    <w:rsid w:val="00AC79FA"/>
    <w:rsid w:val="00AE7CDE"/>
    <w:rsid w:val="00B200AE"/>
    <w:rsid w:val="00BD7A71"/>
    <w:rsid w:val="00D03189"/>
    <w:rsid w:val="00D4593C"/>
    <w:rsid w:val="00D97DDB"/>
    <w:rsid w:val="00DA3C0F"/>
    <w:rsid w:val="00DB07E1"/>
    <w:rsid w:val="00E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424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47B"/>
    <w:rPr>
      <w:rFonts w:ascii="Trebuchet MS" w:eastAsia="Trebuchet MS" w:hAnsi="Trebuchet MS" w:cs="Trebuchet MS"/>
      <w:lang w:val="ro-RO"/>
    </w:rPr>
  </w:style>
  <w:style w:type="paragraph" w:styleId="Piedepgina">
    <w:name w:val="footer"/>
    <w:basedOn w:val="Normal"/>
    <w:link w:val="PiedepginaCar"/>
    <w:uiPriority w:val="99"/>
    <w:unhideWhenUsed/>
    <w:rsid w:val="008424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47B"/>
    <w:rPr>
      <w:rFonts w:ascii="Trebuchet MS" w:eastAsia="Trebuchet MS" w:hAnsi="Trebuchet MS" w:cs="Trebuchet MS"/>
      <w:lang w:val="ro-RO"/>
    </w:rPr>
  </w:style>
  <w:style w:type="character" w:styleId="Hipervnculo">
    <w:name w:val="Hyperlink"/>
    <w:basedOn w:val="Fuentedeprrafopredeter"/>
    <w:uiPriority w:val="99"/>
    <w:unhideWhenUsed/>
    <w:rsid w:val="007630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277"/>
    <w:rPr>
      <w:rFonts w:ascii="Tahoma" w:eastAsia="Trebuchet MS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424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47B"/>
    <w:rPr>
      <w:rFonts w:ascii="Trebuchet MS" w:eastAsia="Trebuchet MS" w:hAnsi="Trebuchet MS" w:cs="Trebuchet MS"/>
      <w:lang w:val="ro-RO"/>
    </w:rPr>
  </w:style>
  <w:style w:type="paragraph" w:styleId="Piedepgina">
    <w:name w:val="footer"/>
    <w:basedOn w:val="Normal"/>
    <w:link w:val="PiedepginaCar"/>
    <w:uiPriority w:val="99"/>
    <w:unhideWhenUsed/>
    <w:rsid w:val="008424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47B"/>
    <w:rPr>
      <w:rFonts w:ascii="Trebuchet MS" w:eastAsia="Trebuchet MS" w:hAnsi="Trebuchet MS" w:cs="Trebuchet MS"/>
      <w:lang w:val="ro-RO"/>
    </w:rPr>
  </w:style>
  <w:style w:type="character" w:styleId="Hipervnculo">
    <w:name w:val="Hyperlink"/>
    <w:basedOn w:val="Fuentedeprrafopredeter"/>
    <w:uiPriority w:val="99"/>
    <w:unhideWhenUsed/>
    <w:rsid w:val="007630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277"/>
    <w:rPr>
      <w:rFonts w:ascii="Tahoma" w:eastAsia="Trebuchet MS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2022 CCAQ I CARTA</vt:lpstr>
    </vt:vector>
  </TitlesOfParts>
  <Company>HP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2022 CCAQ I CARTA</dc:title>
  <dc:creator>Usuario</dc:creator>
  <cp:lastModifiedBy>Soporte</cp:lastModifiedBy>
  <cp:revision>4</cp:revision>
  <cp:lastPrinted>2022-08-02T15:30:00Z</cp:lastPrinted>
  <dcterms:created xsi:type="dcterms:W3CDTF">2023-01-11T15:11:00Z</dcterms:created>
  <dcterms:modified xsi:type="dcterms:W3CDTF">2023-01-11T15:19:00Z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2022-01-03T00:00:00Z</vt:filetime>
  </property>
</Properties>
</file>